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F281" w14:textId="0A351F1B" w:rsidR="00310749" w:rsidRDefault="000844FA" w:rsidP="000844FA">
      <w:pPr>
        <w:pStyle w:val="BodyA"/>
        <w:jc w:val="center"/>
        <w:rPr>
          <w:b/>
          <w:bCs/>
          <w:sz w:val="32"/>
          <w:szCs w:val="32"/>
        </w:rPr>
      </w:pPr>
      <w:r>
        <w:rPr>
          <w:rFonts w:ascii="Trebuchet MS" w:hAnsi="Trebuchet MS"/>
          <w:noProof/>
          <w:sz w:val="28"/>
          <w:szCs w:val="28"/>
        </w:rPr>
        <w:drawing>
          <wp:inline distT="0" distB="0" distL="0" distR="0" wp14:anchorId="28B0038E" wp14:editId="03852A6B">
            <wp:extent cx="5759450" cy="11944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9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6F6BF" w14:textId="77777777" w:rsidR="000844FA" w:rsidRDefault="000844FA" w:rsidP="000844FA">
      <w:pPr>
        <w:pStyle w:val="BodyA"/>
        <w:jc w:val="center"/>
        <w:rPr>
          <w:rFonts w:hint="eastAsia"/>
          <w:b/>
          <w:bCs/>
          <w:sz w:val="32"/>
          <w:szCs w:val="32"/>
        </w:rPr>
      </w:pPr>
    </w:p>
    <w:p w14:paraId="7C511FF8" w14:textId="77777777" w:rsidR="00E308B0" w:rsidRPr="000844FA" w:rsidRDefault="008B56F6" w:rsidP="00310749">
      <w:pPr>
        <w:pStyle w:val="BodyA"/>
        <w:jc w:val="center"/>
        <w:rPr>
          <w:rFonts w:ascii="Cambria" w:hAnsi="Cambria"/>
          <w:b/>
          <w:bCs/>
          <w:color w:val="00B0F0"/>
          <w:sz w:val="44"/>
          <w:szCs w:val="44"/>
        </w:rPr>
      </w:pPr>
      <w:r w:rsidRPr="000844FA">
        <w:rPr>
          <w:rFonts w:ascii="Cambria" w:hAnsi="Cambria"/>
          <w:b/>
          <w:bCs/>
          <w:color w:val="00B0F0"/>
          <w:sz w:val="44"/>
          <w:szCs w:val="44"/>
        </w:rPr>
        <w:t>Risk Management and Fraud</w:t>
      </w:r>
      <w:r w:rsidR="008761AE" w:rsidRPr="000844FA">
        <w:rPr>
          <w:rFonts w:ascii="Cambria" w:hAnsi="Cambria"/>
          <w:b/>
          <w:bCs/>
          <w:color w:val="00B0F0"/>
          <w:sz w:val="44"/>
          <w:szCs w:val="44"/>
        </w:rPr>
        <w:t xml:space="preserve"> Prevention</w:t>
      </w:r>
      <w:r w:rsidRPr="000844FA">
        <w:rPr>
          <w:rFonts w:ascii="Cambria" w:hAnsi="Cambria"/>
          <w:b/>
          <w:bCs/>
          <w:color w:val="00B0F0"/>
          <w:sz w:val="44"/>
          <w:szCs w:val="44"/>
        </w:rPr>
        <w:t xml:space="preserve"> Policy</w:t>
      </w:r>
    </w:p>
    <w:p w14:paraId="4F445684" w14:textId="3FEC891B" w:rsidR="00E308B0" w:rsidRDefault="000844FA">
      <w:pPr>
        <w:pStyle w:val="BodyA"/>
        <w:rPr>
          <w:b/>
          <w:bCs/>
          <w:color w:val="00B0F0"/>
        </w:rPr>
      </w:pPr>
      <w:r>
        <w:rPr>
          <w:b/>
          <w:bCs/>
          <w:color w:val="00B0F0"/>
        </w:rPr>
        <w:t>_____________________________________________________________________________________</w:t>
      </w:r>
    </w:p>
    <w:p w14:paraId="7054B4AF" w14:textId="77777777" w:rsidR="000844FA" w:rsidRPr="000844FA" w:rsidRDefault="000844FA">
      <w:pPr>
        <w:pStyle w:val="BodyA"/>
        <w:rPr>
          <w:rFonts w:hint="eastAsia"/>
          <w:b/>
          <w:bCs/>
          <w:color w:val="00B0F0"/>
        </w:rPr>
      </w:pPr>
    </w:p>
    <w:p w14:paraId="0BB7F5AD" w14:textId="209B2C20" w:rsidR="00E308B0" w:rsidRPr="000844FA" w:rsidRDefault="000844FA">
      <w:pPr>
        <w:pStyle w:val="BodyA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Approved at AGM 11/09/2020                                                                                                  Next review 2022</w:t>
      </w:r>
    </w:p>
    <w:p w14:paraId="2B589AA8" w14:textId="77777777" w:rsidR="00E308B0" w:rsidRDefault="00E308B0">
      <w:pPr>
        <w:pStyle w:val="BodyA"/>
        <w:rPr>
          <w:rFonts w:hint="eastAsia"/>
          <w:b/>
          <w:bCs/>
        </w:rPr>
      </w:pPr>
    </w:p>
    <w:p w14:paraId="72F7ADC5" w14:textId="4D1797ED" w:rsidR="00E308B0" w:rsidRPr="000844FA" w:rsidRDefault="008B56F6">
      <w:pPr>
        <w:pStyle w:val="BodyA"/>
        <w:rPr>
          <w:rFonts w:ascii="Cambria" w:hAnsi="Cambria"/>
          <w:b/>
          <w:bCs/>
        </w:rPr>
      </w:pPr>
      <w:r w:rsidRPr="000844FA">
        <w:rPr>
          <w:rFonts w:ascii="Cambria" w:hAnsi="Cambria"/>
          <w:b/>
          <w:bCs/>
        </w:rPr>
        <w:t>Statement</w:t>
      </w:r>
    </w:p>
    <w:p w14:paraId="22D2582E" w14:textId="77777777" w:rsidR="00E308B0" w:rsidRPr="000844FA" w:rsidRDefault="00310749">
      <w:pPr>
        <w:pStyle w:val="BodyA"/>
        <w:rPr>
          <w:rFonts w:ascii="Cambria" w:hAnsi="Cambria"/>
        </w:rPr>
      </w:pPr>
      <w:r w:rsidRPr="000844FA">
        <w:rPr>
          <w:rFonts w:ascii="Cambria" w:hAnsi="Cambria"/>
        </w:rPr>
        <w:t>The nature of The Dragonfly Schools Foundation</w:t>
      </w:r>
      <w:r w:rsidR="008B56F6" w:rsidRPr="000844FA">
        <w:rPr>
          <w:rFonts w:ascii="Cambria" w:hAnsi="Cambria"/>
        </w:rPr>
        <w:t xml:space="preserve"> is to make payments at</w:t>
      </w:r>
      <w:r w:rsidR="00D20C30" w:rsidRPr="000844FA">
        <w:rPr>
          <w:rFonts w:ascii="Cambria" w:hAnsi="Cambria"/>
        </w:rPr>
        <w:t xml:space="preserve"> the discretion of the trustees to our partner NGOs</w:t>
      </w:r>
      <w:r w:rsidRPr="000844FA">
        <w:rPr>
          <w:rFonts w:ascii="Cambria" w:hAnsi="Cambria"/>
        </w:rPr>
        <w:t xml:space="preserve"> in Pushkar, Rajasthan, India</w:t>
      </w:r>
      <w:r w:rsidR="008B56F6" w:rsidRPr="000844FA">
        <w:rPr>
          <w:rFonts w:ascii="Cambria" w:hAnsi="Cambria"/>
        </w:rPr>
        <w:t>.  It is not involved in carrying out charitable works, only in financially assisting others to do so.  There</w:t>
      </w:r>
      <w:r w:rsidRPr="000844FA">
        <w:rPr>
          <w:rFonts w:ascii="Cambria" w:hAnsi="Cambria"/>
        </w:rPr>
        <w:t>fore, the type of risks The Dragonfly Schools Foundation</w:t>
      </w:r>
      <w:r w:rsidR="008B56F6" w:rsidRPr="000844FA">
        <w:rPr>
          <w:rFonts w:ascii="Cambria" w:hAnsi="Cambria"/>
        </w:rPr>
        <w:t xml:space="preserve"> faces </w:t>
      </w:r>
      <w:r w:rsidRPr="000844FA">
        <w:rPr>
          <w:rFonts w:ascii="Cambria" w:hAnsi="Cambria"/>
        </w:rPr>
        <w:t>are limited</w:t>
      </w:r>
      <w:r w:rsidR="008B56F6" w:rsidRPr="000844FA">
        <w:rPr>
          <w:rFonts w:ascii="Cambria" w:hAnsi="Cambria"/>
        </w:rPr>
        <w:t>.</w:t>
      </w:r>
      <w:r w:rsidR="00D71E1B" w:rsidRPr="000844FA">
        <w:rPr>
          <w:rFonts w:ascii="Cambria" w:hAnsi="Cambria"/>
        </w:rPr>
        <w:t xml:space="preserve"> They are: financial risks, </w:t>
      </w:r>
      <w:r w:rsidR="00D20C30" w:rsidRPr="000844FA">
        <w:rPr>
          <w:rFonts w:ascii="Cambria" w:hAnsi="Cambria"/>
        </w:rPr>
        <w:t>transfer of funds, safeguarding risks and those arising from twice-yearly monitoring visits by Directors.</w:t>
      </w:r>
      <w:r w:rsidR="00D71E1B" w:rsidRPr="000844FA">
        <w:rPr>
          <w:rFonts w:ascii="Cambria" w:hAnsi="Cambria"/>
        </w:rPr>
        <w:t xml:space="preserve"> </w:t>
      </w:r>
    </w:p>
    <w:p w14:paraId="7A8D943B" w14:textId="77777777" w:rsidR="00E308B0" w:rsidRPr="000844FA" w:rsidRDefault="00E308B0">
      <w:pPr>
        <w:pStyle w:val="BodyA"/>
        <w:rPr>
          <w:rFonts w:ascii="Cambria" w:hAnsi="Cambria"/>
        </w:rPr>
      </w:pPr>
    </w:p>
    <w:p w14:paraId="591888A8" w14:textId="62F43163" w:rsidR="00E308B0" w:rsidRPr="000844FA" w:rsidRDefault="008B56F6">
      <w:pPr>
        <w:pStyle w:val="BodyA"/>
        <w:rPr>
          <w:rFonts w:ascii="Cambria" w:hAnsi="Cambria"/>
          <w:b/>
          <w:bCs/>
        </w:rPr>
      </w:pPr>
      <w:r w:rsidRPr="000844FA">
        <w:rPr>
          <w:rFonts w:ascii="Cambria" w:hAnsi="Cambria"/>
          <w:b/>
          <w:bCs/>
        </w:rPr>
        <w:t>Financial Risks</w:t>
      </w:r>
    </w:p>
    <w:p w14:paraId="1D3F777D" w14:textId="77777777" w:rsidR="00E308B0" w:rsidRPr="000844FA" w:rsidRDefault="00310749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 xml:space="preserve">Fluctuations in fundraising activity in schools and other </w:t>
      </w:r>
      <w:proofErr w:type="spellStart"/>
      <w:r w:rsidR="00D20C30" w:rsidRPr="000844FA">
        <w:rPr>
          <w:rFonts w:ascii="Cambria" w:hAnsi="Cambria"/>
        </w:rPr>
        <w:t>organis</w:t>
      </w:r>
      <w:r w:rsidRPr="000844FA">
        <w:rPr>
          <w:rFonts w:ascii="Cambria" w:hAnsi="Cambria"/>
        </w:rPr>
        <w:t>ations</w:t>
      </w:r>
      <w:proofErr w:type="spellEnd"/>
      <w:r w:rsidRPr="000844FA">
        <w:rPr>
          <w:rFonts w:ascii="Cambria" w:hAnsi="Cambria"/>
        </w:rPr>
        <w:t xml:space="preserve"> </w:t>
      </w:r>
      <w:proofErr w:type="spellStart"/>
      <w:proofErr w:type="gramStart"/>
      <w:r w:rsidRPr="000844FA">
        <w:rPr>
          <w:rFonts w:ascii="Cambria" w:hAnsi="Cambria"/>
        </w:rPr>
        <w:t>eg</w:t>
      </w:r>
      <w:proofErr w:type="spellEnd"/>
      <w:proofErr w:type="gramEnd"/>
      <w:r w:rsidRPr="000844FA">
        <w:rPr>
          <w:rFonts w:ascii="Cambria" w:hAnsi="Cambria"/>
        </w:rPr>
        <w:t xml:space="preserve"> WI, Rotary</w:t>
      </w:r>
    </w:p>
    <w:p w14:paraId="26D7C3D0" w14:textId="77777777" w:rsidR="00E308B0" w:rsidRPr="000844FA" w:rsidRDefault="008B56F6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Inadequate reserves</w:t>
      </w:r>
    </w:p>
    <w:p w14:paraId="3E7FCE64" w14:textId="77777777" w:rsidR="00E308B0" w:rsidRPr="000844FA" w:rsidRDefault="00E308B0">
      <w:pPr>
        <w:pStyle w:val="BodyA"/>
        <w:rPr>
          <w:rFonts w:ascii="Cambria" w:hAnsi="Cambria"/>
        </w:rPr>
      </w:pPr>
    </w:p>
    <w:p w14:paraId="345A4B31" w14:textId="0F30ECAC" w:rsidR="00E308B0" w:rsidRPr="000844FA" w:rsidRDefault="008B56F6">
      <w:pPr>
        <w:pStyle w:val="BodyA"/>
        <w:rPr>
          <w:rFonts w:ascii="Cambria" w:hAnsi="Cambria"/>
          <w:b/>
          <w:bCs/>
        </w:rPr>
      </w:pPr>
      <w:r w:rsidRPr="000844FA">
        <w:rPr>
          <w:rFonts w:ascii="Cambria" w:hAnsi="Cambria"/>
          <w:b/>
          <w:bCs/>
        </w:rPr>
        <w:t>External Risks</w:t>
      </w:r>
    </w:p>
    <w:p w14:paraId="07036BB3" w14:textId="77777777" w:rsidR="00E308B0" w:rsidRPr="000844FA" w:rsidRDefault="008B56F6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 xml:space="preserve">An unforeseen risk in demand </w:t>
      </w:r>
      <w:r w:rsidR="00310749" w:rsidRPr="000844FA">
        <w:rPr>
          <w:rFonts w:ascii="Cambria" w:hAnsi="Cambria"/>
        </w:rPr>
        <w:t>for funding from the 4 charities we serve.</w:t>
      </w:r>
    </w:p>
    <w:p w14:paraId="29475DCA" w14:textId="77777777" w:rsidR="00E308B0" w:rsidRPr="000844FA" w:rsidRDefault="008B56F6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Turbulent economic environment</w:t>
      </w:r>
    </w:p>
    <w:p w14:paraId="31E5C4DB" w14:textId="77777777" w:rsidR="00D71E1B" w:rsidRPr="000844FA" w:rsidRDefault="00D71E1B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Safeguarding policy is breached</w:t>
      </w:r>
    </w:p>
    <w:p w14:paraId="56BDE16B" w14:textId="77777777" w:rsidR="00D71E1B" w:rsidRPr="000844FA" w:rsidRDefault="00D71E1B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Health of Directors is compromised</w:t>
      </w:r>
      <w:r w:rsidR="00D20C30" w:rsidRPr="000844FA">
        <w:rPr>
          <w:rFonts w:ascii="Cambria" w:hAnsi="Cambria"/>
        </w:rPr>
        <w:t xml:space="preserve"> while in India</w:t>
      </w:r>
    </w:p>
    <w:p w14:paraId="4D7DBA3C" w14:textId="77777777" w:rsidR="00D71E1B" w:rsidRPr="000844FA" w:rsidRDefault="009D70D3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 xml:space="preserve">Changes to </w:t>
      </w:r>
      <w:r w:rsidR="00D71E1B" w:rsidRPr="000844FA">
        <w:rPr>
          <w:rFonts w:ascii="Cambria" w:hAnsi="Cambria"/>
        </w:rPr>
        <w:t>Indian</w:t>
      </w:r>
      <w:r w:rsidRPr="000844FA">
        <w:rPr>
          <w:rFonts w:ascii="Cambria" w:hAnsi="Cambria"/>
        </w:rPr>
        <w:t xml:space="preserve"> law regarding donations received from outside India</w:t>
      </w:r>
    </w:p>
    <w:p w14:paraId="6B5E6D01" w14:textId="77777777" w:rsidR="00E308B0" w:rsidRPr="000844FA" w:rsidRDefault="00E308B0">
      <w:pPr>
        <w:pStyle w:val="BodyA"/>
        <w:rPr>
          <w:rFonts w:ascii="Cambria" w:hAnsi="Cambria"/>
        </w:rPr>
      </w:pPr>
    </w:p>
    <w:p w14:paraId="38F07203" w14:textId="2AF835B3" w:rsidR="00E308B0" w:rsidRPr="000844FA" w:rsidRDefault="008B56F6" w:rsidP="00D71E1B">
      <w:pPr>
        <w:pStyle w:val="BodyA"/>
        <w:rPr>
          <w:rFonts w:ascii="Cambria" w:hAnsi="Cambria"/>
          <w:b/>
          <w:bCs/>
        </w:rPr>
      </w:pPr>
      <w:r w:rsidRPr="000844FA">
        <w:rPr>
          <w:rFonts w:ascii="Cambria" w:hAnsi="Cambria"/>
          <w:b/>
          <w:bCs/>
        </w:rPr>
        <w:t>Mitigation and management of risks</w:t>
      </w:r>
    </w:p>
    <w:p w14:paraId="7B529CC7" w14:textId="77777777" w:rsidR="00E308B0" w:rsidRPr="000844FA" w:rsidRDefault="00D71E1B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M</w:t>
      </w:r>
      <w:r w:rsidR="00310749" w:rsidRPr="000844FA">
        <w:rPr>
          <w:rFonts w:ascii="Cambria" w:hAnsi="Cambria"/>
        </w:rPr>
        <w:t xml:space="preserve">aintain adequate reserves in savings account </w:t>
      </w:r>
    </w:p>
    <w:p w14:paraId="2B556745" w14:textId="77777777" w:rsidR="00E308B0" w:rsidRPr="000844FA" w:rsidRDefault="00D71E1B" w:rsidP="00D71E1B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P</w:t>
      </w:r>
      <w:r w:rsidR="00D20C30" w:rsidRPr="000844FA">
        <w:rPr>
          <w:rFonts w:ascii="Cambria" w:hAnsi="Cambria"/>
        </w:rPr>
        <w:t>lan to reduce twice-</w:t>
      </w:r>
      <w:r w:rsidR="008665FE" w:rsidRPr="000844FA">
        <w:rPr>
          <w:rFonts w:ascii="Cambria" w:hAnsi="Cambria"/>
        </w:rPr>
        <w:t>yearly</w:t>
      </w:r>
      <w:r w:rsidR="008B56F6" w:rsidRPr="000844FA">
        <w:rPr>
          <w:rFonts w:ascii="Cambria" w:hAnsi="Cambria"/>
        </w:rPr>
        <w:t xml:space="preserve"> payment</w:t>
      </w:r>
      <w:r w:rsidR="008665FE" w:rsidRPr="000844FA">
        <w:rPr>
          <w:rFonts w:ascii="Cambria" w:hAnsi="Cambria"/>
        </w:rPr>
        <w:t>s</w:t>
      </w:r>
      <w:r w:rsidR="008B56F6" w:rsidRPr="000844FA">
        <w:rPr>
          <w:rFonts w:ascii="Cambria" w:hAnsi="Cambria"/>
        </w:rPr>
        <w:t xml:space="preserve"> to regular beneficiaries if necessary</w:t>
      </w:r>
    </w:p>
    <w:p w14:paraId="066787FA" w14:textId="77777777" w:rsidR="00D71E1B" w:rsidRPr="000844FA" w:rsidRDefault="009D70D3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Training on child protection policy and safeguarding protocol</w:t>
      </w:r>
      <w:r w:rsidR="00D20C30" w:rsidRPr="000844FA">
        <w:rPr>
          <w:rFonts w:ascii="Cambria" w:hAnsi="Cambria"/>
        </w:rPr>
        <w:t>s</w:t>
      </w:r>
      <w:r w:rsidRPr="000844FA">
        <w:rPr>
          <w:rFonts w:ascii="Cambria" w:hAnsi="Cambria"/>
        </w:rPr>
        <w:t>.</w:t>
      </w:r>
    </w:p>
    <w:p w14:paraId="4CD8475A" w14:textId="77777777" w:rsidR="00D71E1B" w:rsidRPr="000844FA" w:rsidRDefault="009D70D3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 xml:space="preserve">Immediate communication to trustees when </w:t>
      </w:r>
      <w:r w:rsidR="00D71E1B" w:rsidRPr="000844FA">
        <w:rPr>
          <w:rFonts w:ascii="Cambria" w:hAnsi="Cambria"/>
        </w:rPr>
        <w:t>safeguarding concerns</w:t>
      </w:r>
      <w:r w:rsidR="001435E9" w:rsidRPr="000844FA">
        <w:rPr>
          <w:rFonts w:ascii="Cambria" w:hAnsi="Cambria"/>
        </w:rPr>
        <w:t xml:space="preserve"> are identified</w:t>
      </w:r>
    </w:p>
    <w:p w14:paraId="767FAE39" w14:textId="77777777" w:rsidR="00FD48D3" w:rsidRDefault="008665FE" w:rsidP="00152BDD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Directors en</w:t>
      </w:r>
      <w:r w:rsidR="001435E9" w:rsidRPr="000844FA">
        <w:rPr>
          <w:rFonts w:ascii="Cambria" w:hAnsi="Cambria"/>
        </w:rPr>
        <w:t xml:space="preserve">sure </w:t>
      </w:r>
      <w:r w:rsidRPr="000844FA">
        <w:rPr>
          <w:rFonts w:ascii="Cambria" w:hAnsi="Cambria"/>
        </w:rPr>
        <w:t>vaccinations</w:t>
      </w:r>
      <w:r w:rsidR="001435E9" w:rsidRPr="000844FA">
        <w:rPr>
          <w:rFonts w:ascii="Cambria" w:hAnsi="Cambria"/>
        </w:rPr>
        <w:t xml:space="preserve"> and health insurance are </w:t>
      </w:r>
      <w:proofErr w:type="gramStart"/>
      <w:r w:rsidR="001435E9" w:rsidRPr="000844FA">
        <w:rPr>
          <w:rFonts w:ascii="Cambria" w:hAnsi="Cambria"/>
        </w:rPr>
        <w:t>up-to-date</w:t>
      </w:r>
      <w:proofErr w:type="gramEnd"/>
      <w:r w:rsidR="008761AE" w:rsidRPr="000844FA">
        <w:rPr>
          <w:rFonts w:ascii="Cambria" w:hAnsi="Cambria"/>
        </w:rPr>
        <w:t>,</w:t>
      </w:r>
    </w:p>
    <w:p w14:paraId="2036371E" w14:textId="76BCE9DE" w:rsidR="008665FE" w:rsidRPr="000844FA" w:rsidRDefault="00FD48D3" w:rsidP="00152BDD">
      <w:pPr>
        <w:pStyle w:val="Body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Directors ensure</w:t>
      </w:r>
      <w:r w:rsidR="008761AE" w:rsidRPr="000844FA">
        <w:rPr>
          <w:rFonts w:ascii="Cambria" w:hAnsi="Cambria"/>
        </w:rPr>
        <w:t xml:space="preserve"> personal safety </w:t>
      </w:r>
      <w:r w:rsidR="00860160">
        <w:rPr>
          <w:rFonts w:ascii="Cambria" w:hAnsi="Cambria"/>
        </w:rPr>
        <w:t>and</w:t>
      </w:r>
      <w:r w:rsidR="008761AE" w:rsidRPr="000844FA">
        <w:rPr>
          <w:rFonts w:ascii="Cambria" w:hAnsi="Cambria"/>
        </w:rPr>
        <w:t xml:space="preserve"> health protocols observe</w:t>
      </w:r>
      <w:r>
        <w:rPr>
          <w:rFonts w:ascii="Cambria" w:hAnsi="Cambria"/>
        </w:rPr>
        <w:t>d</w:t>
      </w:r>
      <w:r w:rsidR="008761AE" w:rsidRPr="000844FA">
        <w:rPr>
          <w:rFonts w:ascii="Cambria" w:hAnsi="Cambria"/>
        </w:rPr>
        <w:t xml:space="preserve"> and </w:t>
      </w:r>
      <w:r w:rsidR="008665FE" w:rsidRPr="000844FA">
        <w:rPr>
          <w:rFonts w:ascii="Cambria" w:hAnsi="Cambria"/>
        </w:rPr>
        <w:t>safe</w:t>
      </w:r>
      <w:r w:rsidR="001435E9" w:rsidRPr="000844FA">
        <w:rPr>
          <w:rFonts w:ascii="Cambria" w:hAnsi="Cambria"/>
        </w:rPr>
        <w:t xml:space="preserve"> </w:t>
      </w:r>
      <w:r w:rsidR="008665FE" w:rsidRPr="000844FA">
        <w:rPr>
          <w:rFonts w:ascii="Cambria" w:hAnsi="Cambria"/>
        </w:rPr>
        <w:t>accommodation</w:t>
      </w:r>
      <w:r w:rsidR="008761AE" w:rsidRPr="000844FA">
        <w:rPr>
          <w:rFonts w:ascii="Cambria" w:hAnsi="Cambria"/>
        </w:rPr>
        <w:t xml:space="preserve"> used</w:t>
      </w:r>
    </w:p>
    <w:p w14:paraId="5AED3132" w14:textId="77777777" w:rsidR="00D71E1B" w:rsidRPr="000844FA" w:rsidRDefault="00D71E1B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Ensure all fundi</w:t>
      </w:r>
      <w:r w:rsidR="00D20C30" w:rsidRPr="000844FA">
        <w:rPr>
          <w:rFonts w:ascii="Cambria" w:hAnsi="Cambria"/>
        </w:rPr>
        <w:t>ng to Partner NGOs is</w:t>
      </w:r>
      <w:r w:rsidR="001435E9" w:rsidRPr="000844FA">
        <w:rPr>
          <w:rFonts w:ascii="Cambria" w:hAnsi="Cambria"/>
        </w:rPr>
        <w:t xml:space="preserve"> via</w:t>
      </w:r>
      <w:r w:rsidR="00D20C30" w:rsidRPr="000844FA">
        <w:rPr>
          <w:rFonts w:ascii="Cambria" w:hAnsi="Cambria"/>
        </w:rPr>
        <w:t xml:space="preserve"> bank transfer</w:t>
      </w:r>
      <w:r w:rsidR="008761AE" w:rsidRPr="000844FA">
        <w:rPr>
          <w:rFonts w:ascii="Cambria" w:hAnsi="Cambria"/>
        </w:rPr>
        <w:t>s</w:t>
      </w:r>
    </w:p>
    <w:p w14:paraId="588526F3" w14:textId="77777777" w:rsidR="00D71E1B" w:rsidRPr="000844FA" w:rsidRDefault="00D71E1B" w:rsidP="001435E9">
      <w:pPr>
        <w:pStyle w:val="BodyA"/>
        <w:rPr>
          <w:rFonts w:ascii="Cambria" w:hAnsi="Cambria"/>
        </w:rPr>
      </w:pPr>
    </w:p>
    <w:p w14:paraId="769618D0" w14:textId="7AD07A7E" w:rsidR="00E308B0" w:rsidRPr="000844FA" w:rsidRDefault="00D20C30">
      <w:pPr>
        <w:pStyle w:val="BodyA"/>
        <w:rPr>
          <w:rFonts w:ascii="Cambria" w:hAnsi="Cambria"/>
          <w:b/>
          <w:bCs/>
        </w:rPr>
      </w:pPr>
      <w:r w:rsidRPr="000844FA">
        <w:rPr>
          <w:rFonts w:ascii="Cambria" w:hAnsi="Cambria"/>
          <w:b/>
          <w:bCs/>
        </w:rPr>
        <w:t xml:space="preserve">Prevention of </w:t>
      </w:r>
      <w:r w:rsidR="008B56F6" w:rsidRPr="000844FA">
        <w:rPr>
          <w:rFonts w:ascii="Cambria" w:hAnsi="Cambria"/>
          <w:b/>
          <w:bCs/>
        </w:rPr>
        <w:t>Fraud</w:t>
      </w:r>
    </w:p>
    <w:p w14:paraId="7742E1E3" w14:textId="77777777" w:rsidR="00E308B0" w:rsidRPr="000844FA" w:rsidRDefault="00D20C30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 xml:space="preserve">Ensure </w:t>
      </w:r>
      <w:r w:rsidR="008B56F6" w:rsidRPr="000844FA">
        <w:rPr>
          <w:rFonts w:ascii="Cambria" w:hAnsi="Cambria"/>
        </w:rPr>
        <w:t>more than one trustee</w:t>
      </w:r>
      <w:r w:rsidRPr="000844FA">
        <w:rPr>
          <w:rFonts w:ascii="Cambria" w:hAnsi="Cambria"/>
        </w:rPr>
        <w:t xml:space="preserve"> is</w:t>
      </w:r>
      <w:r w:rsidR="008B56F6" w:rsidRPr="000844FA">
        <w:rPr>
          <w:rFonts w:ascii="Cambria" w:hAnsi="Cambria"/>
        </w:rPr>
        <w:t xml:space="preserve"> involved with payments and financial controls</w:t>
      </w:r>
    </w:p>
    <w:p w14:paraId="5BE0CB42" w14:textId="77777777" w:rsidR="00E308B0" w:rsidRPr="000844FA" w:rsidRDefault="00D20C30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Ensure  no time-</w:t>
      </w:r>
      <w:r w:rsidR="008B56F6" w:rsidRPr="000844FA">
        <w:rPr>
          <w:rFonts w:ascii="Cambria" w:hAnsi="Cambria"/>
        </w:rPr>
        <w:t>saving shortcuts such</w:t>
      </w:r>
      <w:r w:rsidRPr="000844FA">
        <w:rPr>
          <w:rFonts w:ascii="Cambria" w:hAnsi="Cambria"/>
        </w:rPr>
        <w:t xml:space="preserve"> as pre-signing </w:t>
      </w:r>
      <w:r w:rsidR="008B56F6" w:rsidRPr="000844FA">
        <w:rPr>
          <w:rFonts w:ascii="Cambria" w:hAnsi="Cambria"/>
        </w:rPr>
        <w:t>cheques</w:t>
      </w:r>
    </w:p>
    <w:p w14:paraId="59E27E50" w14:textId="77777777" w:rsidR="00E308B0" w:rsidRPr="000844FA" w:rsidRDefault="00D20C30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E</w:t>
      </w:r>
      <w:r w:rsidR="008B56F6" w:rsidRPr="000844FA">
        <w:rPr>
          <w:rFonts w:ascii="Cambria" w:hAnsi="Cambria"/>
        </w:rPr>
        <w:t xml:space="preserve">nsures banking methods are secure and protected with dual level </w:t>
      </w:r>
      <w:proofErr w:type="spellStart"/>
      <w:r w:rsidR="008B56F6" w:rsidRPr="000844FA">
        <w:rPr>
          <w:rFonts w:ascii="Cambria" w:hAnsi="Cambria"/>
        </w:rPr>
        <w:t>authorisation</w:t>
      </w:r>
      <w:proofErr w:type="spellEnd"/>
    </w:p>
    <w:p w14:paraId="6114AD02" w14:textId="77777777" w:rsidR="00E308B0" w:rsidRPr="000844FA" w:rsidRDefault="00D20C30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Carry</w:t>
      </w:r>
      <w:r w:rsidR="008B56F6" w:rsidRPr="000844FA">
        <w:rPr>
          <w:rFonts w:ascii="Cambria" w:hAnsi="Cambria"/>
        </w:rPr>
        <w:t xml:space="preserve"> out appropriate due dilig</w:t>
      </w:r>
      <w:r w:rsidRPr="000844FA">
        <w:rPr>
          <w:rFonts w:ascii="Cambria" w:hAnsi="Cambria"/>
        </w:rPr>
        <w:t>ence checks</w:t>
      </w:r>
    </w:p>
    <w:p w14:paraId="713E1FC8" w14:textId="20F7DA76" w:rsidR="00E308B0" w:rsidRDefault="00D20C30">
      <w:pPr>
        <w:pStyle w:val="BodyA"/>
        <w:numPr>
          <w:ilvl w:val="0"/>
          <w:numId w:val="2"/>
        </w:numPr>
        <w:rPr>
          <w:rFonts w:ascii="Cambria" w:hAnsi="Cambria"/>
        </w:rPr>
      </w:pPr>
      <w:r w:rsidRPr="000844FA">
        <w:rPr>
          <w:rFonts w:ascii="Cambria" w:hAnsi="Cambria"/>
        </w:rPr>
        <w:t>Ensure</w:t>
      </w:r>
      <w:r w:rsidR="008B56F6" w:rsidRPr="000844FA">
        <w:rPr>
          <w:rFonts w:ascii="Cambria" w:hAnsi="Cambria"/>
        </w:rPr>
        <w:t xml:space="preserve"> trustees regularly receive </w:t>
      </w:r>
      <w:r w:rsidR="00853972">
        <w:rPr>
          <w:rFonts w:ascii="Cambria" w:hAnsi="Cambria"/>
        </w:rPr>
        <w:t>current</w:t>
      </w:r>
      <w:r w:rsidR="00D176CB">
        <w:rPr>
          <w:rFonts w:ascii="Cambria" w:hAnsi="Cambria"/>
        </w:rPr>
        <w:t xml:space="preserve">, clear and transparent </w:t>
      </w:r>
      <w:r w:rsidR="00B06964">
        <w:rPr>
          <w:rFonts w:ascii="Cambria" w:hAnsi="Cambria"/>
        </w:rPr>
        <w:t xml:space="preserve">finance </w:t>
      </w:r>
      <w:r w:rsidR="008B56F6" w:rsidRPr="000844FA">
        <w:rPr>
          <w:rFonts w:ascii="Cambria" w:hAnsi="Cambria"/>
        </w:rPr>
        <w:t>report</w:t>
      </w:r>
      <w:r w:rsidR="00A7126F">
        <w:rPr>
          <w:rFonts w:ascii="Cambria" w:hAnsi="Cambria"/>
        </w:rPr>
        <w:t>s</w:t>
      </w:r>
      <w:r w:rsidR="008B56F6" w:rsidRPr="000844FA">
        <w:rPr>
          <w:rFonts w:ascii="Cambria" w:hAnsi="Cambria"/>
        </w:rPr>
        <w:t xml:space="preserve"> </w:t>
      </w:r>
      <w:r w:rsidR="001D1CF8">
        <w:rPr>
          <w:rFonts w:ascii="Cambria" w:hAnsi="Cambria"/>
        </w:rPr>
        <w:t xml:space="preserve">and </w:t>
      </w:r>
      <w:r w:rsidR="008B56F6" w:rsidRPr="000844FA">
        <w:rPr>
          <w:rFonts w:ascii="Cambria" w:hAnsi="Cambria"/>
        </w:rPr>
        <w:t>accounts</w:t>
      </w:r>
    </w:p>
    <w:p w14:paraId="3D26FE3C" w14:textId="77777777" w:rsidR="000844FA" w:rsidRPr="000844FA" w:rsidRDefault="000844FA" w:rsidP="000844FA">
      <w:pPr>
        <w:pStyle w:val="BodyA"/>
        <w:rPr>
          <w:rFonts w:ascii="Cambria" w:hAnsi="Cambria"/>
        </w:rPr>
      </w:pPr>
    </w:p>
    <w:p w14:paraId="775637BC" w14:textId="77777777" w:rsidR="00866299" w:rsidRPr="000844FA" w:rsidRDefault="00866299" w:rsidP="00866299">
      <w:pPr>
        <w:pStyle w:val="BodyA"/>
        <w:ind w:left="240"/>
        <w:rPr>
          <w:rFonts w:ascii="Cambria" w:hAnsi="Cambria"/>
        </w:rPr>
      </w:pPr>
    </w:p>
    <w:p w14:paraId="41A51FB5" w14:textId="77777777" w:rsidR="001435E9" w:rsidRPr="000844FA" w:rsidRDefault="001435E9" w:rsidP="001435E9">
      <w:pPr>
        <w:pStyle w:val="BodyA"/>
        <w:rPr>
          <w:rFonts w:ascii="Cambria" w:hAnsi="Cambria"/>
        </w:rPr>
      </w:pPr>
    </w:p>
    <w:p w14:paraId="60D70506" w14:textId="77777777" w:rsidR="000844FA" w:rsidRPr="009B0400" w:rsidRDefault="00866299" w:rsidP="000844FA">
      <w:pPr>
        <w:jc w:val="center"/>
        <w:rPr>
          <w:rFonts w:asciiTheme="majorHAnsi" w:hAnsiTheme="majorHAnsi"/>
          <w:sz w:val="20"/>
          <w:szCs w:val="20"/>
        </w:rPr>
      </w:pPr>
      <w:r w:rsidRPr="000844FA">
        <w:rPr>
          <w:rFonts w:ascii="Cambria" w:hAnsi="Cambria"/>
        </w:rPr>
        <w:t xml:space="preserve">          </w:t>
      </w:r>
      <w:bookmarkStart w:id="0" w:name="_Hlk82974163"/>
      <w:r w:rsidR="000844FA" w:rsidRPr="009B0400">
        <w:rPr>
          <w:rFonts w:asciiTheme="majorHAnsi" w:hAnsiTheme="majorHAnsi"/>
          <w:sz w:val="20"/>
          <w:szCs w:val="20"/>
        </w:rPr>
        <w:t>Registered Charity in England and Wales No. 1170021</w:t>
      </w:r>
    </w:p>
    <w:bookmarkEnd w:id="0"/>
    <w:p w14:paraId="76BE38B2" w14:textId="33E8A074" w:rsidR="001435E9" w:rsidRPr="000844FA" w:rsidRDefault="00866299" w:rsidP="001435E9">
      <w:pPr>
        <w:pStyle w:val="BodyA"/>
        <w:rPr>
          <w:rFonts w:ascii="Cambria" w:hAnsi="Cambria"/>
        </w:rPr>
      </w:pPr>
      <w:r w:rsidRPr="000844FA">
        <w:rPr>
          <w:rFonts w:ascii="Cambria" w:hAnsi="Cambria"/>
        </w:rPr>
        <w:t xml:space="preserve">                               </w:t>
      </w:r>
    </w:p>
    <w:sectPr w:rsidR="001435E9" w:rsidRPr="000844FA" w:rsidSect="00E308B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4B0E" w14:textId="77777777" w:rsidR="007C7155" w:rsidRDefault="007C7155" w:rsidP="00E308B0">
      <w:r>
        <w:separator/>
      </w:r>
    </w:p>
  </w:endnote>
  <w:endnote w:type="continuationSeparator" w:id="0">
    <w:p w14:paraId="4A12C7A3" w14:textId="77777777" w:rsidR="007C7155" w:rsidRDefault="007C7155" w:rsidP="00E3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451A" w14:textId="77777777" w:rsidR="00E308B0" w:rsidRDefault="00E308B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9FD8" w14:textId="77777777" w:rsidR="007C7155" w:rsidRDefault="007C7155" w:rsidP="00E308B0">
      <w:r>
        <w:separator/>
      </w:r>
    </w:p>
  </w:footnote>
  <w:footnote w:type="continuationSeparator" w:id="0">
    <w:p w14:paraId="076320E3" w14:textId="77777777" w:rsidR="007C7155" w:rsidRDefault="007C7155" w:rsidP="00E3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A0D9" w14:textId="77777777" w:rsidR="00E308B0" w:rsidRDefault="00E308B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21E"/>
    <w:multiLevelType w:val="hybridMultilevel"/>
    <w:tmpl w:val="5EE0138E"/>
    <w:numStyleLink w:val="BulletBig"/>
  </w:abstractNum>
  <w:abstractNum w:abstractNumId="1" w15:restartNumberingAfterBreak="0">
    <w:nsid w:val="14CA44C3"/>
    <w:multiLevelType w:val="hybridMultilevel"/>
    <w:tmpl w:val="5EE0138E"/>
    <w:styleLink w:val="BulletBig"/>
    <w:lvl w:ilvl="0" w:tplc="83BA05EC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EAB546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C866802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36E2270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D24155E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3A826AE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3A2D054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F50D74A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4CC158">
      <w:start w:val="1"/>
      <w:numFmt w:val="bullet"/>
      <w:lvlText w:val="•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B0"/>
    <w:rsid w:val="000844FA"/>
    <w:rsid w:val="001435E9"/>
    <w:rsid w:val="00152BDD"/>
    <w:rsid w:val="001D1CF8"/>
    <w:rsid w:val="00310749"/>
    <w:rsid w:val="007C7155"/>
    <w:rsid w:val="00853972"/>
    <w:rsid w:val="00860160"/>
    <w:rsid w:val="00866299"/>
    <w:rsid w:val="008665FE"/>
    <w:rsid w:val="008761AE"/>
    <w:rsid w:val="008B56F6"/>
    <w:rsid w:val="00953EB4"/>
    <w:rsid w:val="009D70D3"/>
    <w:rsid w:val="00A65962"/>
    <w:rsid w:val="00A7126F"/>
    <w:rsid w:val="00B06964"/>
    <w:rsid w:val="00B61401"/>
    <w:rsid w:val="00C2653C"/>
    <w:rsid w:val="00D176CB"/>
    <w:rsid w:val="00D20C30"/>
    <w:rsid w:val="00D71E1B"/>
    <w:rsid w:val="00E308B0"/>
    <w:rsid w:val="00EE74BC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BFF1"/>
  <w15:docId w15:val="{9A2BE702-0CD0-4F47-B9B2-E3596D9D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08B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08B0"/>
    <w:rPr>
      <w:u w:val="single"/>
    </w:rPr>
  </w:style>
  <w:style w:type="paragraph" w:customStyle="1" w:styleId="HeaderFooter">
    <w:name w:val="Header &amp; Footer"/>
    <w:rsid w:val="00E308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E308B0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Big">
    <w:name w:val="Bullet Big"/>
    <w:rsid w:val="00E308B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Bretherton</dc:creator>
  <cp:lastModifiedBy>IAN BRETHERTON</cp:lastModifiedBy>
  <cp:revision>2</cp:revision>
  <dcterms:created xsi:type="dcterms:W3CDTF">2021-09-19T19:27:00Z</dcterms:created>
  <dcterms:modified xsi:type="dcterms:W3CDTF">2021-09-19T19:27:00Z</dcterms:modified>
</cp:coreProperties>
</file>